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16" w:rsidRDefault="00950D16" w:rsidP="00950D16">
      <w:pPr>
        <w:adjustRightInd w:val="0"/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950D16" w:rsidRDefault="00950D16" w:rsidP="00950D16">
      <w:pPr>
        <w:tabs>
          <w:tab w:val="left" w:pos="7980"/>
        </w:tabs>
        <w:adjustRightInd w:val="0"/>
        <w:snapToGrid w:val="0"/>
        <w:ind w:firstLine="640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2014年度部门决算报表、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“三公”</w:t>
      </w:r>
      <w:r>
        <w:rPr>
          <w:rFonts w:ascii="方正小标宋简体" w:eastAsia="方正小标宋简体" w:hAnsi="宋体" w:hint="eastAsia"/>
          <w:sz w:val="32"/>
          <w:szCs w:val="32"/>
        </w:rPr>
        <w:t>经费决算公开样表（共3张）</w:t>
      </w:r>
    </w:p>
    <w:p w:rsidR="00950D16" w:rsidRDefault="00950D16" w:rsidP="00950D16">
      <w:pPr>
        <w:adjustRightInd w:val="0"/>
        <w:snapToGrid w:val="0"/>
        <w:ind w:firstLine="420"/>
      </w:pPr>
    </w:p>
    <w:p w:rsidR="00950D16" w:rsidRDefault="00950D16" w:rsidP="00950D16">
      <w:pPr>
        <w:adjustRightInd w:val="0"/>
        <w:snapToGrid w:val="0"/>
        <w:ind w:firstLine="48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</w:rPr>
        <w:t>公开01表</w:t>
      </w:r>
    </w:p>
    <w:p w:rsidR="00950D16" w:rsidRDefault="00950D16" w:rsidP="00950D16">
      <w:pPr>
        <w:adjustRightInd w:val="0"/>
        <w:snapToGrid w:val="0"/>
        <w:ind w:firstLine="72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**部门2014年度收入支出决算总表</w:t>
      </w:r>
    </w:p>
    <w:tbl>
      <w:tblPr>
        <w:tblW w:w="13987" w:type="dxa"/>
        <w:jc w:val="center"/>
        <w:tblLayout w:type="fixed"/>
        <w:tblLook w:val="0000"/>
      </w:tblPr>
      <w:tblGrid>
        <w:gridCol w:w="2505"/>
        <w:gridCol w:w="850"/>
        <w:gridCol w:w="1701"/>
        <w:gridCol w:w="1985"/>
        <w:gridCol w:w="567"/>
        <w:gridCol w:w="1559"/>
        <w:gridCol w:w="2602"/>
        <w:gridCol w:w="567"/>
        <w:gridCol w:w="1651"/>
      </w:tblGrid>
      <w:tr w:rsidR="00950D16" w:rsidTr="00D63CF2">
        <w:trPr>
          <w:trHeight w:val="308"/>
          <w:tblHeader/>
          <w:jc w:val="center"/>
        </w:trPr>
        <w:tc>
          <w:tcPr>
            <w:tcW w:w="5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893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支出</w:t>
            </w:r>
          </w:p>
        </w:tc>
      </w:tr>
      <w:tr w:rsidR="00950D16" w:rsidRPr="00E6664E" w:rsidTr="00D63CF2">
        <w:trPr>
          <w:trHeight w:val="714"/>
          <w:tblHeader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Pr="00E6664E" w:rsidRDefault="00950D16" w:rsidP="00D63CF2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E6664E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Pr="00E6664E" w:rsidRDefault="00950D16" w:rsidP="00D63CF2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E6664E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Pr="00E6664E" w:rsidRDefault="00950D16" w:rsidP="00D63CF2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E6664E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决算数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Pr="00E6664E" w:rsidRDefault="00950D16" w:rsidP="00D63CF2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E6664E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项目(按功能分类)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Pr="00E6664E" w:rsidRDefault="00950D16" w:rsidP="00D63CF2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E6664E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Pr="00E6664E" w:rsidRDefault="00950D16" w:rsidP="00D63CF2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E6664E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决算数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Pr="00E6664E" w:rsidRDefault="00950D16" w:rsidP="00D63CF2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E6664E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项目(按支出性质和经济分类)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Pr="00E6664E" w:rsidRDefault="00950D16" w:rsidP="00D63CF2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E6664E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950D16" w:rsidRPr="00E6664E" w:rsidRDefault="00950D16" w:rsidP="00D63CF2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E6664E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决算数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一、财政拨款收入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19398042.38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一、一般公共服务支出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一、基本支出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15260342.38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　其中：政府性基金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6260000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二、外交支出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人员经费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11980174.93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二、上级补助收入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三、国防支出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日常公用经费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3280167.45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三、事业收入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四、公共安全支出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11545094.45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二、项目支出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3626800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四、经营收入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五、教育支出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30000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基本建设类项目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五、附属单位上缴收入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六、科学技术支出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行政事业类项目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3626800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六、其他收入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七、文化体育与传媒支出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三、上缴上级支出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八、社会保障和就业支出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1052047.93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四、经营支出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九、医疗卫生与计划生育支出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五、对附属单位补助支出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十、节能环保支出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十一、城乡社区支出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6260000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支出经济分类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十二、农林水支出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基本支出和项目支出合计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18887142.38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十三、交通运输支出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工资福利支出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10926327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十四、资源勘探信息等支出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商品和服务支出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3596729.45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十五、商业服务业等支出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对个人和家庭的补助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1053847.93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十六、金融支出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对企事业单位的补贴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十七、援助其他地区支出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赠与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十八、国土海洋气象等支出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债务利息支出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十九、住房保障支出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基本建设支出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二十、粮油物资储备支出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其他资本性支出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3310238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二十一、国债还本付息支出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贷款转贷及产权参股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二十二、其他支出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其他支出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19398042.38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18887142.38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用事业基金弥补收支差额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结余分配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年初结转和结余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2625800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  交纳所得税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lastRenderedPageBreak/>
              <w:t xml:space="preserve">      基本支出结转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192300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  提取职工福利基金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  项目支出结转和结余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2433500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  转入事业基金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  经营结余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  其他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年末结转和结余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3136700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  基本支出结转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  项目支出结转和结余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3136700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    经营结余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D16" w:rsidTr="00D63CF2">
        <w:trPr>
          <w:trHeight w:val="308"/>
          <w:jc w:val="center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22023842.38　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0D16" w:rsidRDefault="00950D16" w:rsidP="00D63CF2"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50D16" w:rsidRDefault="00950D16" w:rsidP="00D63CF2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22023842.38　</w:t>
            </w:r>
          </w:p>
        </w:tc>
      </w:tr>
    </w:tbl>
    <w:p w:rsidR="009109D8" w:rsidRDefault="00950D16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9109D8" w:rsidRDefault="009109D8" w:rsidP="009109D8">
      <w:pPr>
        <w:adjustRightInd w:val="0"/>
        <w:snapToGrid w:val="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公开02表</w:t>
      </w:r>
    </w:p>
    <w:p w:rsidR="009109D8" w:rsidRDefault="009109D8" w:rsidP="009109D8">
      <w:pPr>
        <w:ind w:firstLine="48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adjustRightInd w:val="0"/>
        <w:snapToGrid w:val="0"/>
        <w:ind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**部门2014年度一般公共预算财政拨款</w:t>
      </w:r>
    </w:p>
    <w:p w:rsidR="009109D8" w:rsidRDefault="009109D8" w:rsidP="009109D8">
      <w:pPr>
        <w:adjustRightInd w:val="0"/>
        <w:snapToGrid w:val="0"/>
        <w:ind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支出明细表</w:t>
      </w:r>
    </w:p>
    <w:p w:rsidR="009109D8" w:rsidRDefault="009109D8" w:rsidP="009109D8">
      <w:pPr>
        <w:adjustRightInd w:val="0"/>
        <w:snapToGrid w:val="0"/>
        <w:ind w:firstLine="64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单位：万元</w:t>
      </w:r>
    </w:p>
    <w:tbl>
      <w:tblPr>
        <w:tblW w:w="0" w:type="auto"/>
        <w:jc w:val="center"/>
        <w:tblLayout w:type="fixed"/>
        <w:tblLook w:val="0000"/>
      </w:tblPr>
      <w:tblGrid>
        <w:gridCol w:w="717"/>
        <w:gridCol w:w="567"/>
        <w:gridCol w:w="567"/>
        <w:gridCol w:w="1843"/>
        <w:gridCol w:w="992"/>
        <w:gridCol w:w="1276"/>
        <w:gridCol w:w="1417"/>
        <w:gridCol w:w="1141"/>
      </w:tblGrid>
      <w:tr w:rsidR="009109D8" w:rsidTr="00D63CF2">
        <w:trPr>
          <w:trHeight w:val="450"/>
          <w:jc w:val="center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科目编码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单位（科目名称）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1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</w:p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基本支出</w:t>
            </w:r>
          </w:p>
          <w:p w:rsidR="009109D8" w:rsidRDefault="009109D8" w:rsidP="00D63CF2">
            <w:pPr>
              <w:ind w:firstLine="361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项目支出</w:t>
            </w:r>
          </w:p>
        </w:tc>
      </w:tr>
      <w:tr w:rsidR="009109D8" w:rsidTr="00D63CF2">
        <w:trPr>
          <w:trHeight w:val="360"/>
          <w:jc w:val="center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Chars="90" w:firstLine="199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Chars="90" w:firstLine="199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Chars="90" w:firstLine="199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rPr>
                <w:rFonts w:ascii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人员</w:t>
            </w:r>
          </w:p>
          <w:p w:rsidR="009109D8" w:rsidRDefault="009109D8" w:rsidP="00D63CF2">
            <w:pPr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经费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rPr>
                <w:rFonts w:ascii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公用</w:t>
            </w:r>
          </w:p>
          <w:p w:rsidR="009109D8" w:rsidRDefault="009109D8" w:rsidP="00D63CF2">
            <w:pPr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经费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9109D8" w:rsidTr="00D63CF2">
        <w:trPr>
          <w:trHeight w:val="540"/>
          <w:jc w:val="center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9109D8" w:rsidTr="00D63CF2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Chars="83" w:firstLine="199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Chars="382" w:firstLine="917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Chars="83" w:firstLine="199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Chars="182" w:firstLine="437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Chars="132" w:firstLine="317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4</w:t>
            </w:r>
          </w:p>
        </w:tc>
      </w:tr>
      <w:tr w:rsidR="009109D8" w:rsidTr="00D63CF2">
        <w:trPr>
          <w:trHeight w:val="46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="36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="36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Chars="18" w:firstLine="32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xxx部门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1888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109D8" w:rsidTr="00D63CF2">
        <w:trPr>
          <w:trHeight w:val="4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Chars="39" w:firstLine="7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Chars="39" w:firstLine="7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Chars="39" w:firstLine="7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="36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 行政运行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right="360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370.20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right="180"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109D8" w:rsidTr="00D63CF2">
        <w:trPr>
          <w:trHeight w:val="4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Chars="39" w:firstLine="7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Chars="39" w:firstLine="7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Chars="39" w:firstLine="7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="36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right="90"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96.43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280.04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362.68</w:t>
            </w:r>
          </w:p>
        </w:tc>
      </w:tr>
      <w:tr w:rsidR="009109D8" w:rsidTr="00D63CF2">
        <w:trPr>
          <w:trHeight w:val="4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="360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9D8" w:rsidRDefault="009109D8" w:rsidP="00D63CF2">
            <w:pPr>
              <w:ind w:firstLine="360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36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109D8" w:rsidRDefault="009109D8" w:rsidP="009109D8">
      <w:pPr>
        <w:adjustRightInd w:val="0"/>
        <w:snapToGrid w:val="0"/>
        <w:spacing w:line="360" w:lineRule="auto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9109D8" w:rsidRDefault="009109D8" w:rsidP="009109D8">
      <w:pPr>
        <w:ind w:firstLine="48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ind w:firstLine="48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ind w:firstLine="48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ind w:firstLine="48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ind w:firstLine="480"/>
        <w:rPr>
          <w:rFonts w:ascii="宋体" w:hAnsi="宋体" w:cs="宋体" w:hint="eastAsia"/>
          <w:color w:val="000000"/>
          <w:kern w:val="0"/>
          <w:sz w:val="24"/>
        </w:rPr>
      </w:pPr>
    </w:p>
    <w:p w:rsidR="009109D8" w:rsidRDefault="009109D8" w:rsidP="009109D8">
      <w:pPr>
        <w:ind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公开03表</w:t>
      </w:r>
    </w:p>
    <w:p w:rsidR="009109D8" w:rsidRDefault="009109D8" w:rsidP="009109D8">
      <w:pPr>
        <w:adjustRightInd w:val="0"/>
        <w:snapToGrid w:val="0"/>
        <w:ind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**部门2014年度公共预算财政拨款“三公”经费</w:t>
      </w:r>
    </w:p>
    <w:p w:rsidR="009109D8" w:rsidRDefault="009109D8" w:rsidP="009109D8">
      <w:pPr>
        <w:adjustRightInd w:val="0"/>
        <w:snapToGrid w:val="0"/>
        <w:ind w:firstLine="72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决算表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                          </w:t>
      </w:r>
    </w:p>
    <w:p w:rsidR="009109D8" w:rsidRDefault="009109D8" w:rsidP="009109D8">
      <w:pPr>
        <w:adjustRightInd w:val="0"/>
        <w:snapToGrid w:val="0"/>
        <w:ind w:firstLine="640"/>
        <w:jc w:val="center"/>
        <w:rPr>
          <w:rFonts w:hint="eastAsia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单位：万元</w:t>
      </w:r>
    </w:p>
    <w:tbl>
      <w:tblPr>
        <w:tblW w:w="0" w:type="auto"/>
        <w:jc w:val="center"/>
        <w:tblLayout w:type="fixed"/>
        <w:tblLook w:val="0000"/>
      </w:tblPr>
      <w:tblGrid>
        <w:gridCol w:w="5407"/>
        <w:gridCol w:w="2797"/>
      </w:tblGrid>
      <w:tr w:rsidR="009109D8" w:rsidTr="00D63CF2">
        <w:trPr>
          <w:trHeight w:val="765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**年决算数</w:t>
            </w:r>
          </w:p>
        </w:tc>
      </w:tr>
      <w:tr w:rsidR="009109D8" w:rsidTr="00D63CF2">
        <w:trPr>
          <w:trHeight w:val="495"/>
          <w:jc w:val="center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2"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 xml:space="preserve">　124.25</w:t>
            </w:r>
          </w:p>
        </w:tc>
      </w:tr>
      <w:tr w:rsidR="009109D8" w:rsidTr="00D63CF2">
        <w:trPr>
          <w:trHeight w:val="510"/>
          <w:jc w:val="center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0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    因公出国(境)费用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D8" w:rsidRDefault="009109D8" w:rsidP="00D63CF2">
            <w:pPr>
              <w:ind w:firstLine="440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9109D8" w:rsidTr="00D63CF2">
        <w:trPr>
          <w:trHeight w:val="510"/>
          <w:jc w:val="center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0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    公务接待费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D8" w:rsidRDefault="009109D8" w:rsidP="00D63CF2">
            <w:pPr>
              <w:ind w:firstLine="440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3.05</w:t>
            </w:r>
          </w:p>
        </w:tc>
      </w:tr>
      <w:tr w:rsidR="009109D8" w:rsidTr="00D63CF2">
        <w:trPr>
          <w:trHeight w:val="525"/>
          <w:jc w:val="center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0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    公务用车运行购置及运行维护费小计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D8" w:rsidRDefault="009109D8" w:rsidP="00D63CF2">
            <w:pPr>
              <w:ind w:firstLine="440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121.20</w:t>
            </w:r>
          </w:p>
        </w:tc>
      </w:tr>
      <w:tr w:rsidR="009109D8" w:rsidTr="00D63CF2">
        <w:trPr>
          <w:trHeight w:val="510"/>
          <w:jc w:val="center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0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        其中：公务用车运行维护费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D8" w:rsidRDefault="009109D8" w:rsidP="00D63CF2">
            <w:pPr>
              <w:ind w:firstLine="440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55.69</w:t>
            </w:r>
          </w:p>
        </w:tc>
      </w:tr>
      <w:tr w:rsidR="009109D8" w:rsidTr="00D63CF2">
        <w:trPr>
          <w:trHeight w:val="510"/>
          <w:jc w:val="center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D8" w:rsidRDefault="009109D8" w:rsidP="00D63CF2">
            <w:pPr>
              <w:ind w:firstLine="440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              公务用车购置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D8" w:rsidRDefault="009109D8" w:rsidP="00D63CF2">
            <w:pPr>
              <w:ind w:firstLine="440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65.51</w:t>
            </w:r>
          </w:p>
        </w:tc>
      </w:tr>
    </w:tbl>
    <w:p w:rsidR="009109D8" w:rsidRDefault="009109D8" w:rsidP="009109D8">
      <w:pPr>
        <w:sectPr w:rsidR="009109D8" w:rsidSect="009109D8">
          <w:pgSz w:w="16838" w:h="11906" w:orient="landscape"/>
          <w:pgMar w:top="1701" w:right="1440" w:bottom="1701" w:left="1701" w:header="851" w:footer="992" w:gutter="0"/>
          <w:cols w:space="720"/>
          <w:docGrid w:linePitch="312"/>
        </w:sectPr>
      </w:pPr>
    </w:p>
    <w:p w:rsidR="00034C64" w:rsidRDefault="00034C64"/>
    <w:sectPr w:rsidR="00034C64" w:rsidSect="00950D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D16"/>
    <w:rsid w:val="00034C64"/>
    <w:rsid w:val="001B5C68"/>
    <w:rsid w:val="009109D8"/>
    <w:rsid w:val="0095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2015-09-22T01:27:00Z</dcterms:created>
  <dcterms:modified xsi:type="dcterms:W3CDTF">2015-09-22T02:05:00Z</dcterms:modified>
</cp:coreProperties>
</file>